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headerReference w:type="default" r:id="rId9"/>
      <w:footerReference w:type="default" r:id="rId10"/>
      <w:pgSz w:w="11906" w:h="16838"/>
      <w:pgMar w:top="2041" w:right="1020" w:bottom="1701" w:left="1020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4"/>
      </w:rPr>
      <w:t>Studio Sérénité SARL — SARL</w:t>
    </w:r>
    <w:r>
      <w:br/>
    </w:r>
    <w:r>
      <w:rPr>
        <w:color w:val="64748B"/>
        <w:sz w:val="14"/>
      </w:rPr>
      <w:t>SIREN 000 000 000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3F8F7D"/>
        <w:sz w:val="30"/>
      </w:rPr>
      <w:t>Studio Sérénité SARL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